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魏都区检察院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2016年决算批复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7727950"/>
            <wp:effectExtent l="0" t="0" r="12700" b="6350"/>
            <wp:docPr id="1" name="图片 1" descr="决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决算1"/>
                    <pic:cNvPicPr>
                      <a:picLocks noChangeAspect="1"/>
                    </pic:cNvPicPr>
                  </pic:nvPicPr>
                  <pic:blipFill>
                    <a:blip r:embed="rId4"/>
                    <a:srcRect t="424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772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7745095"/>
            <wp:effectExtent l="0" t="0" r="12700" b="8255"/>
            <wp:docPr id="2" name="图片 2" descr="决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决算2"/>
                    <pic:cNvPicPr>
                      <a:picLocks noChangeAspect="1"/>
                    </pic:cNvPicPr>
                  </pic:nvPicPr>
                  <pic:blipFill>
                    <a:blip r:embed="rId5"/>
                    <a:srcRect t="4736" b="774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77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408670"/>
            <wp:effectExtent l="0" t="0" r="9525" b="11430"/>
            <wp:docPr id="3" name="图片 3" descr="决算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决算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320"/>
    <w:rsid w:val="25796ABB"/>
    <w:rsid w:val="28494A54"/>
    <w:rsid w:val="28941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2017-10-20T10:09:56Z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2052-10.1.0.6924</vt:lpwstr>
  </property>
</Properties>
</file>